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74403">
      <w:pPr>
        <w:keepNext w:val="0"/>
        <w:keepLines w:val="0"/>
        <w:widowControl w:val="0"/>
        <w:suppressLineNumbers w:val="0"/>
        <w:autoSpaceDE w:val="0"/>
        <w:autoSpaceDN/>
        <w:spacing w:before="0" w:beforeAutospacing="0" w:after="0" w:afterAutospacing="0" w:line="600" w:lineRule="exact"/>
        <w:ind w:left="0" w:right="0"/>
        <w:jc w:val="both"/>
        <w:rPr>
          <w:rFonts w:hint="eastAsia" w:ascii="黑体" w:hAnsi="宋体" w:eastAsia="黑体" w:cs="黑体"/>
          <w:color w:val="000000"/>
          <w:spacing w:val="0"/>
          <w:kern w:val="2"/>
          <w:sz w:val="32"/>
          <w:szCs w:val="32"/>
        </w:rPr>
      </w:pPr>
      <w:r>
        <w:rPr>
          <w:rFonts w:hint="eastAsia" w:ascii="黑体" w:hAnsi="宋体" w:eastAsia="黑体" w:cs="黑体"/>
          <w:color w:val="000000"/>
          <w:spacing w:val="0"/>
          <w:kern w:val="2"/>
          <w:sz w:val="32"/>
          <w:szCs w:val="32"/>
          <w:lang w:val="en-US" w:eastAsia="zh-CN" w:bidi="ar"/>
        </w:rPr>
        <w:t>附件2</w:t>
      </w:r>
    </w:p>
    <w:p w14:paraId="6D658699">
      <w:pPr>
        <w:keepNext w:val="0"/>
        <w:keepLines w:val="0"/>
        <w:widowControl w:val="0"/>
        <w:suppressLineNumbers w:val="0"/>
        <w:autoSpaceDE w:val="0"/>
        <w:autoSpaceDN/>
        <w:spacing w:before="0" w:beforeAutospacing="0" w:after="0" w:afterAutospacing="0" w:line="600" w:lineRule="exact"/>
        <w:ind w:left="0" w:right="0"/>
        <w:jc w:val="both"/>
        <w:rPr>
          <w:rFonts w:hint="eastAsia" w:ascii="黑体" w:hAnsi="宋体" w:eastAsia="黑体" w:cs="黑体"/>
          <w:color w:val="000000"/>
          <w:spacing w:val="0"/>
          <w:kern w:val="2"/>
          <w:sz w:val="32"/>
          <w:szCs w:val="32"/>
        </w:rPr>
      </w:pPr>
      <w:r>
        <w:rPr>
          <w:rFonts w:hint="eastAsia" w:ascii="黑体" w:hAnsi="宋体" w:eastAsia="黑体" w:cs="黑体"/>
          <w:color w:val="000000"/>
          <w:spacing w:val="0"/>
          <w:kern w:val="2"/>
          <w:sz w:val="32"/>
          <w:szCs w:val="32"/>
          <w:lang w:val="en-US" w:eastAsia="zh-CN" w:bidi="ar"/>
        </w:rPr>
        <w:t xml:space="preserve"> </w:t>
      </w:r>
    </w:p>
    <w:p w14:paraId="1509F9EB">
      <w:pPr>
        <w:keepNext w:val="0"/>
        <w:keepLines w:val="0"/>
        <w:widowControl w:val="0"/>
        <w:suppressLineNumbers w:val="0"/>
        <w:autoSpaceDE w:val="0"/>
        <w:autoSpaceDN/>
        <w:spacing w:before="0" w:beforeAutospacing="0" w:after="0" w:afterAutospacing="0" w:line="600" w:lineRule="exact"/>
        <w:ind w:left="0" w:right="0" w:firstLine="0" w:firstLineChars="0"/>
        <w:jc w:val="center"/>
        <w:outlineLvl w:val="1"/>
        <w:rPr>
          <w:rFonts w:hint="default" w:ascii="Times New Roman" w:hAnsi="Times New Roman" w:eastAsia="方正小标宋_GBK" w:cs="方正小标宋_GBK"/>
          <w:color w:val="000000"/>
          <w:spacing w:val="0"/>
          <w:kern w:val="2"/>
          <w:sz w:val="44"/>
          <w:szCs w:val="44"/>
        </w:rPr>
      </w:pPr>
      <w:bookmarkStart w:id="0" w:name="_GoBack"/>
      <w:r>
        <w:rPr>
          <w:rFonts w:hint="eastAsia" w:ascii="方正小标宋_GBK" w:hAnsi="方正小标宋_GBK" w:eastAsia="方正小标宋_GBK" w:cs="方正小标宋_GBK"/>
          <w:color w:val="000000"/>
          <w:spacing w:val="0"/>
          <w:kern w:val="2"/>
          <w:sz w:val="44"/>
          <w:szCs w:val="44"/>
          <w:lang w:val="en-US" w:eastAsia="zh-CN" w:bidi="ar"/>
        </w:rPr>
        <w:t>勘查开采规划区块调整材料要求与流程</w:t>
      </w:r>
      <w:bookmarkEnd w:id="0"/>
    </w:p>
    <w:p w14:paraId="2DBD277B">
      <w:pPr>
        <w:keepNext w:val="0"/>
        <w:keepLines w:val="0"/>
        <w:widowControl w:val="0"/>
        <w:suppressLineNumbers w:val="0"/>
        <w:autoSpaceDE w:val="0"/>
        <w:autoSpaceDN/>
        <w:spacing w:before="0" w:beforeAutospacing="0" w:after="0" w:afterAutospacing="0" w:line="600" w:lineRule="exact"/>
        <w:ind w:left="0" w:right="0" w:firstLine="0" w:firstLineChars="0"/>
        <w:jc w:val="both"/>
        <w:rPr>
          <w:rFonts w:hint="default" w:ascii="Times New Roman" w:hAnsi="Times New Roman" w:eastAsia="宋体" w:cs="Times New Roman"/>
          <w:color w:val="000000"/>
          <w:spacing w:val="0"/>
          <w:kern w:val="2"/>
          <w:sz w:val="32"/>
          <w:szCs w:val="32"/>
        </w:rPr>
      </w:pPr>
      <w:r>
        <w:rPr>
          <w:rFonts w:hint="default" w:ascii="Times New Roman" w:hAnsi="Times New Roman" w:eastAsia="宋体" w:cs="Times New Roman"/>
          <w:color w:val="000000"/>
          <w:spacing w:val="0"/>
          <w:kern w:val="2"/>
          <w:sz w:val="32"/>
          <w:szCs w:val="32"/>
          <w:lang w:val="en-US" w:eastAsia="zh-CN" w:bidi="ar"/>
        </w:rPr>
        <w:t xml:space="preserve"> </w:t>
      </w:r>
    </w:p>
    <w:p w14:paraId="6904523D">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黑体" w:cs="Times New Roman"/>
          <w:color w:val="000000"/>
          <w:spacing w:val="0"/>
          <w:kern w:val="2"/>
          <w:sz w:val="32"/>
          <w:szCs w:val="32"/>
        </w:rPr>
      </w:pPr>
      <w:r>
        <w:rPr>
          <w:rFonts w:hint="eastAsia" w:ascii="黑体" w:hAnsi="宋体" w:eastAsia="黑体" w:cs="黑体"/>
          <w:color w:val="000000"/>
          <w:spacing w:val="0"/>
          <w:kern w:val="2"/>
          <w:sz w:val="32"/>
          <w:szCs w:val="32"/>
          <w:lang w:val="en-US" w:eastAsia="zh-CN" w:bidi="ar"/>
        </w:rPr>
        <w:t>一、规划区块调整申请材料</w:t>
      </w:r>
    </w:p>
    <w:p w14:paraId="74F02CE1">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（一）规划编制机关报请上一级部门关于调整规划区块的函。</w:t>
      </w:r>
    </w:p>
    <w:p w14:paraId="46B7392A">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（二）规划区块调整方案（含相关图表）。</w:t>
      </w:r>
    </w:p>
    <w:p w14:paraId="487198E8">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（三）相关部门意见。</w:t>
      </w:r>
    </w:p>
    <w:p w14:paraId="238862B3">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（四）规划区块调整方案数据库成果。</w:t>
      </w:r>
    </w:p>
    <w:p w14:paraId="44A03F86">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（五）其他相关材料。</w:t>
      </w:r>
    </w:p>
    <w:p w14:paraId="5F4F1C74">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黑体" w:cs="Times New Roman"/>
          <w:color w:val="000000"/>
          <w:spacing w:val="0"/>
          <w:kern w:val="2"/>
          <w:sz w:val="32"/>
          <w:szCs w:val="32"/>
        </w:rPr>
      </w:pPr>
      <w:r>
        <w:rPr>
          <w:rFonts w:hint="eastAsia" w:ascii="黑体" w:hAnsi="宋体" w:eastAsia="黑体" w:cs="黑体"/>
          <w:color w:val="000000"/>
          <w:spacing w:val="0"/>
          <w:kern w:val="2"/>
          <w:sz w:val="32"/>
          <w:szCs w:val="32"/>
          <w:lang w:val="en-US" w:eastAsia="zh-CN" w:bidi="ar"/>
        </w:rPr>
        <w:t>二、规划区块调整方案编写大纲</w:t>
      </w:r>
    </w:p>
    <w:p w14:paraId="3660BA51">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（由负责规划编制的自然资源主管部门编写）</w:t>
      </w:r>
    </w:p>
    <w:p w14:paraId="6A7828B6">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第一章  规划区块调整的必要性</w:t>
      </w:r>
    </w:p>
    <w:p w14:paraId="4C5DE2C0">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结合已有规划区块实施等情况，提出规划区块调整的必要性。</w:t>
      </w:r>
    </w:p>
    <w:p w14:paraId="19F1F0F8">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第二章  规划区块调整的内容</w:t>
      </w:r>
    </w:p>
    <w:p w14:paraId="61433B63">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包括拟调整规划区块的数量、位置、面积、拐点坐标、资源赋存情况等内容。</w:t>
      </w:r>
    </w:p>
    <w:p w14:paraId="11F8A967">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第三章  规划区块调整的可行性</w:t>
      </w:r>
    </w:p>
    <w:p w14:paraId="613EF00B">
      <w:pPr>
        <w:keepNext w:val="0"/>
        <w:keepLines w:val="0"/>
        <w:widowControl w:val="0"/>
        <w:suppressLineNumbers w:val="0"/>
        <w:autoSpaceDE w:val="0"/>
        <w:autoSpaceDN/>
        <w:spacing w:before="0" w:beforeAutospacing="0" w:after="0" w:afterAutospacing="0" w:line="62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包括区块调整的合理性、合规性等，提出调整是否可行的结论。</w:t>
      </w:r>
    </w:p>
    <w:p w14:paraId="07A6CB73">
      <w:pPr>
        <w:keepNext w:val="0"/>
        <w:keepLines w:val="0"/>
        <w:widowControl w:val="0"/>
        <w:suppressLineNumbers w:val="0"/>
        <w:autoSpaceDE w:val="0"/>
        <w:autoSpaceDN/>
        <w:spacing w:before="0" w:beforeAutospacing="0" w:after="0" w:afterAutospacing="0" w:line="62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附件（含附图、附表）</w:t>
      </w:r>
    </w:p>
    <w:p w14:paraId="018813EF">
      <w:pPr>
        <w:keepNext w:val="0"/>
        <w:keepLines w:val="0"/>
        <w:widowControl w:val="0"/>
        <w:suppressLineNumbers w:val="0"/>
        <w:autoSpaceDE w:val="0"/>
        <w:autoSpaceDN/>
        <w:spacing w:before="0" w:beforeAutospacing="0" w:after="0" w:afterAutospacing="0" w:line="620" w:lineRule="exact"/>
        <w:ind w:left="0" w:right="0" w:firstLine="640"/>
        <w:jc w:val="both"/>
        <w:rPr>
          <w:rFonts w:hint="default" w:ascii="Times New Roman" w:hAnsi="Times New Roman" w:eastAsia="黑体" w:cs="Times New Roman"/>
          <w:color w:val="000000"/>
          <w:spacing w:val="0"/>
          <w:kern w:val="2"/>
          <w:sz w:val="32"/>
          <w:szCs w:val="32"/>
        </w:rPr>
      </w:pPr>
      <w:r>
        <w:rPr>
          <w:rFonts w:hint="eastAsia" w:ascii="黑体" w:hAnsi="宋体" w:eastAsia="黑体" w:cs="黑体"/>
          <w:color w:val="000000"/>
          <w:spacing w:val="0"/>
          <w:kern w:val="2"/>
          <w:sz w:val="32"/>
          <w:szCs w:val="32"/>
          <w:lang w:val="en-US" w:eastAsia="zh-CN" w:bidi="ar"/>
        </w:rPr>
        <w:t>三、规划区块调整流程</w:t>
      </w:r>
    </w:p>
    <w:p w14:paraId="7C354834">
      <w:pPr>
        <w:keepNext w:val="0"/>
        <w:keepLines w:val="0"/>
        <w:widowControl w:val="0"/>
        <w:suppressLineNumbers w:val="0"/>
        <w:autoSpaceDE w:val="0"/>
        <w:autoSpaceDN/>
        <w:spacing w:before="0" w:beforeAutospacing="0" w:after="0" w:afterAutospacing="0" w:line="620" w:lineRule="exact"/>
        <w:ind w:left="0" w:right="0" w:firstLine="640"/>
        <w:jc w:val="both"/>
        <w:rPr>
          <w:rFonts w:hint="eastAsia" w:ascii="Times New Roman" w:hAnsi="Times New Roman" w:eastAsia="宋体" w:cs="Times New Roman"/>
          <w:color w:val="000000"/>
          <w:spacing w:val="0"/>
          <w:kern w:val="2"/>
          <w:sz w:val="32"/>
          <w:szCs w:val="32"/>
        </w:rPr>
      </w:pPr>
      <w:r>
        <w:rPr>
          <w:rFonts w:hint="eastAsia" w:ascii="楷体_GB2312" w:hAnsi="Times New Roman" w:eastAsia="楷体_GB2312" w:cs="楷体_GB2312"/>
          <w:color w:val="000000"/>
          <w:spacing w:val="0"/>
          <w:kern w:val="2"/>
          <w:sz w:val="32"/>
          <w:szCs w:val="32"/>
          <w:lang w:val="en-US" w:eastAsia="zh-CN" w:bidi="ar"/>
        </w:rPr>
        <w:t>（一）省级规划区块</w:t>
      </w:r>
      <w:r>
        <w:rPr>
          <w:rFonts w:hint="eastAsia" w:ascii="楷体" w:hAnsi="楷体" w:eastAsia="楷体" w:cs="楷体"/>
          <w:color w:val="000000"/>
          <w:spacing w:val="0"/>
          <w:kern w:val="2"/>
          <w:sz w:val="32"/>
          <w:szCs w:val="32"/>
          <w:lang w:val="en-US" w:eastAsia="zh-CN" w:bidi="ar"/>
        </w:rPr>
        <w:t>调整</w:t>
      </w:r>
      <w:r>
        <w:rPr>
          <w:rFonts w:hint="eastAsia" w:ascii="宋体" w:hAnsi="宋体" w:eastAsia="宋体" w:cs="宋体"/>
          <w:color w:val="000000"/>
          <w:spacing w:val="0"/>
          <w:kern w:val="2"/>
          <w:sz w:val="32"/>
          <w:szCs w:val="32"/>
          <w:lang w:val="en-US" w:eastAsia="zh-CN" w:bidi="ar"/>
        </w:rPr>
        <w:t>。</w:t>
      </w:r>
    </w:p>
    <w:p w14:paraId="18E6B8C2">
      <w:pPr>
        <w:keepNext w:val="0"/>
        <w:keepLines w:val="0"/>
        <w:widowControl w:val="0"/>
        <w:suppressLineNumbers w:val="0"/>
        <w:spacing w:before="0" w:beforeAutospacing="0" w:after="0" w:afterAutospacing="0" w:line="62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 w:hAnsi="仿宋" w:eastAsia="仿宋" w:cs="仿宋"/>
          <w:color w:val="000000"/>
          <w:spacing w:val="0"/>
          <w:kern w:val="2"/>
          <w:sz w:val="32"/>
          <w:szCs w:val="32"/>
          <w:lang w:val="en-US" w:eastAsia="zh-CN" w:bidi="ar"/>
        </w:rPr>
        <w:t>规划区块推荐。省本级由省地调院、省地勘行业办、基金中心</w:t>
      </w:r>
      <w:r>
        <w:rPr>
          <w:rFonts w:hint="eastAsia" w:ascii="仿宋_GB2312" w:hAnsi="Times New Roman" w:eastAsia="仿宋_GB2312" w:cs="仿宋_GB2312"/>
          <w:color w:val="000000"/>
          <w:spacing w:val="0"/>
          <w:kern w:val="2"/>
          <w:sz w:val="32"/>
          <w:szCs w:val="32"/>
          <w:lang w:val="en-US" w:eastAsia="zh-CN" w:bidi="ar"/>
        </w:rPr>
        <w:t>、规划院和市级人民政府及市级自然资源主管部门筛选并推荐报送勘查开采规划区块。参照《自然资源部办公厅关于拓展出让区块来源助推新一轮找矿突破的通知》有关要求，拓展勘查区块来源。市县级自然资源主管部门可以参照省级工作要求，建立规划区块筛选推荐报送机制。</w:t>
      </w:r>
    </w:p>
    <w:p w14:paraId="07D45162">
      <w:pPr>
        <w:keepNext w:val="0"/>
        <w:keepLines w:val="0"/>
        <w:widowControl w:val="0"/>
        <w:suppressLineNumbers w:val="0"/>
        <w:spacing w:before="0" w:beforeAutospacing="0" w:after="0" w:afterAutospacing="0" w:line="62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规划区块调整方案编制。厅矿保处会同规划院组织起草区块调整方案，经专家论证，并征求厅相关处室、相关市局和省发改、生态环境部门意见，提交厅长专题会议审查后，形成规划区块调整成果资料。</w:t>
      </w:r>
    </w:p>
    <w:p w14:paraId="528A7726">
      <w:pPr>
        <w:keepNext w:val="0"/>
        <w:keepLines w:val="0"/>
        <w:widowControl w:val="0"/>
        <w:suppressLineNumbers w:val="0"/>
        <w:spacing w:before="0" w:beforeAutospacing="0" w:after="0" w:afterAutospacing="0" w:line="62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规划区块调整上报。经厅务会审议通过后，省级自然资源主管部门通过规划管理系统上传规划区块调整相关材料。</w:t>
      </w:r>
    </w:p>
    <w:p w14:paraId="2D0C3DED">
      <w:pPr>
        <w:keepNext w:val="0"/>
        <w:keepLines w:val="0"/>
        <w:widowControl w:val="0"/>
        <w:suppressLineNumbers w:val="0"/>
        <w:spacing w:before="0" w:beforeAutospacing="0" w:after="0" w:afterAutospacing="0" w:line="62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规划区块检查入库。自然资源部对上报的规划区块调整方案及相关要件进行检查，申请材料不符合要求的，退回规划编制机关进行修改；申请材料符合要求的，检查通过后完成区块调整的上图入库工作。</w:t>
      </w:r>
    </w:p>
    <w:p w14:paraId="785AEFA4">
      <w:pPr>
        <w:keepNext w:val="0"/>
        <w:keepLines w:val="0"/>
        <w:widowControl w:val="0"/>
        <w:suppressLineNumbers w:val="0"/>
        <w:autoSpaceDE w:val="0"/>
        <w:autoSpaceDN/>
        <w:spacing w:before="0" w:beforeAutospacing="0" w:after="0" w:afterAutospacing="0" w:line="620" w:lineRule="exact"/>
        <w:ind w:left="0" w:right="0" w:firstLine="640"/>
        <w:jc w:val="both"/>
        <w:rPr>
          <w:rFonts w:hint="eastAsia" w:ascii="Times New Roman" w:hAnsi="Times New Roman" w:eastAsia="楷体_GB2312" w:cs="Times New Roman"/>
          <w:color w:val="000000"/>
          <w:spacing w:val="0"/>
          <w:kern w:val="2"/>
          <w:sz w:val="32"/>
          <w:szCs w:val="32"/>
        </w:rPr>
      </w:pPr>
      <w:r>
        <w:rPr>
          <w:rFonts w:hint="eastAsia" w:ascii="楷体_GB2312" w:hAnsi="Times New Roman" w:eastAsia="楷体_GB2312" w:cs="楷体_GB2312"/>
          <w:color w:val="000000"/>
          <w:spacing w:val="0"/>
          <w:kern w:val="2"/>
          <w:sz w:val="32"/>
          <w:szCs w:val="32"/>
          <w:lang w:val="en-US" w:eastAsia="zh-CN" w:bidi="ar"/>
        </w:rPr>
        <w:t>（二）市县级规划区块调整。</w:t>
      </w:r>
    </w:p>
    <w:p w14:paraId="0A1D2305">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规划区块调整方案编制。负责规划区块调整的自然资源主管部门起草勘查开采规划区块调整方案，在充分征求同级相关部门意见的基础上编制完善后，报请上一级自然资源主管部门审查。</w:t>
      </w:r>
    </w:p>
    <w:p w14:paraId="6B710E5B">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规划区块调整上报。负责规划区块调整的自然资源主管部门通过规划管理系统上传规划区块调整相关材料。</w:t>
      </w:r>
    </w:p>
    <w:p w14:paraId="3FC6A354">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规划区块检查入库。规划审批机关对上报的规划区块调整方案及相关要件进行检查，申请材料不符合要求的，退回规划编制机关进行修改；申请材料符合要求的，检查通过后完成区块调整的上图入库工作。</w:t>
      </w:r>
    </w:p>
    <w:p w14:paraId="28A3ABC1">
      <w:pPr>
        <w:keepNext w:val="0"/>
        <w:keepLines w:val="0"/>
        <w:widowControl w:val="0"/>
        <w:suppressLineNumbers w:val="0"/>
        <w:spacing w:before="0" w:beforeAutospacing="0" w:after="0" w:afterAutospacing="0" w:line="600" w:lineRule="exact"/>
        <w:ind w:left="0" w:right="0"/>
        <w:jc w:val="both"/>
        <w:rPr>
          <w:rFonts w:hint="eastAsia" w:ascii="Times New Roman" w:hAnsi="Times New Roman" w:eastAsia="宋体" w:cs="Times New Roman"/>
          <w:color w:val="000000"/>
          <w:spacing w:val="0"/>
          <w:kern w:val="2"/>
          <w:sz w:val="21"/>
          <w:szCs w:val="21"/>
        </w:rPr>
      </w:pPr>
    </w:p>
    <w:p w14:paraId="44C965A9">
      <w:pPr>
        <w:keepNext w:val="0"/>
        <w:keepLines w:val="0"/>
        <w:widowControl w:val="0"/>
        <w:suppressLineNumbers w:val="0"/>
        <w:spacing w:before="0" w:beforeAutospacing="0" w:after="0" w:afterAutospacing="0" w:line="600" w:lineRule="exact"/>
        <w:ind w:left="0" w:right="0"/>
        <w:jc w:val="both"/>
        <w:rPr>
          <w:rFonts w:hint="eastAsia" w:ascii="Times New Roman" w:hAnsi="Times New Roman" w:eastAsia="宋体" w:cs="Times New Roman"/>
          <w:color w:val="000000"/>
          <w:spacing w:val="0"/>
          <w:kern w:val="2"/>
          <w:sz w:val="21"/>
          <w:szCs w:val="21"/>
        </w:rPr>
      </w:pPr>
    </w:p>
    <w:p w14:paraId="07F4C11A">
      <w:pPr>
        <w:keepNext w:val="0"/>
        <w:keepLines w:val="0"/>
        <w:widowControl w:val="0"/>
        <w:suppressLineNumbers w:val="0"/>
        <w:spacing w:before="0" w:beforeAutospacing="0" w:after="0" w:afterAutospacing="0" w:line="600" w:lineRule="exact"/>
        <w:ind w:left="0" w:right="0"/>
        <w:jc w:val="both"/>
        <w:rPr>
          <w:rFonts w:hint="eastAsia" w:ascii="Times New Roman" w:hAnsi="Times New Roman" w:eastAsia="宋体" w:cs="Times New Roman"/>
          <w:color w:val="000000"/>
          <w:spacing w:val="0"/>
          <w:kern w:val="2"/>
          <w:sz w:val="21"/>
          <w:szCs w:val="21"/>
        </w:rPr>
      </w:pPr>
    </w:p>
    <w:p w14:paraId="5BC35A87">
      <w:pPr>
        <w:keepNext w:val="0"/>
        <w:keepLines w:val="0"/>
        <w:widowControl w:val="0"/>
        <w:suppressLineNumbers w:val="0"/>
        <w:spacing w:before="0" w:beforeAutospacing="0" w:after="0" w:afterAutospacing="0" w:line="600" w:lineRule="exact"/>
        <w:ind w:left="0" w:right="0"/>
        <w:jc w:val="both"/>
        <w:rPr>
          <w:rFonts w:hint="eastAsia" w:ascii="Times New Roman" w:hAnsi="Times New Roman" w:eastAsia="宋体" w:cs="Times New Roman"/>
          <w:color w:val="000000"/>
          <w:spacing w:val="0"/>
          <w:kern w:val="2"/>
          <w:sz w:val="21"/>
          <w:szCs w:val="21"/>
        </w:rPr>
      </w:pPr>
    </w:p>
    <w:p w14:paraId="5184A34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I2Y2QwMWY1ZWIxNGY5YjZmYzQ0YzE4ZDIyMjkifQ=="/>
  </w:docVars>
  <w:rsids>
    <w:rsidRoot w:val="06237935"/>
    <w:rsid w:val="0623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2025-01-10T07:55:00Z</dcterms:created>
  <dc:creator>杨卫</dc:creator>
  <cp:lastModifiedBy>杨卫</cp:lastModifiedBy>
  <dcterms:modified xsi:type="dcterms:W3CDTF">2025-01-10T07:55:57Z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D24BF8FEB46140D98217C7625E3EFF48_11</vt:lpwstr>
  </property>
</Properties>
</file>